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C3" w:rsidRPr="00137307" w:rsidRDefault="000E35C3" w:rsidP="000E35C3">
      <w:pPr>
        <w:pStyle w:val="Textoindependiente2"/>
        <w:spacing w:line="240" w:lineRule="auto"/>
        <w:jc w:val="both"/>
        <w:rPr>
          <w:rFonts w:ascii="Arial" w:hAnsi="Arial" w:cs="Arial"/>
          <w:b/>
          <w:iCs/>
        </w:rPr>
      </w:pPr>
      <w:r w:rsidRPr="00137307">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0E35C3" w:rsidRDefault="000E35C3" w:rsidP="000E35C3">
      <w:pPr>
        <w:spacing w:after="0" w:line="240" w:lineRule="auto"/>
        <w:ind w:left="11" w:right="0" w:hanging="11"/>
        <w:jc w:val="center"/>
        <w:rPr>
          <w:b/>
          <w:szCs w:val="24"/>
        </w:rPr>
      </w:pPr>
    </w:p>
    <w:p w:rsidR="00C16047" w:rsidRDefault="00C16047" w:rsidP="00AF7DE6">
      <w:pPr>
        <w:spacing w:after="0" w:line="360" w:lineRule="auto"/>
        <w:ind w:left="11" w:right="0" w:hanging="11"/>
        <w:jc w:val="center"/>
        <w:rPr>
          <w:b/>
          <w:szCs w:val="24"/>
        </w:rPr>
      </w:pPr>
      <w:r w:rsidRPr="00040C28">
        <w:rPr>
          <w:b/>
          <w:szCs w:val="24"/>
        </w:rPr>
        <w:t>D E C R E T O</w:t>
      </w:r>
    </w:p>
    <w:p w:rsidR="00124C13" w:rsidRDefault="00124C13" w:rsidP="000E35C3">
      <w:pPr>
        <w:spacing w:after="0" w:line="240" w:lineRule="auto"/>
        <w:ind w:left="11" w:right="0" w:hanging="11"/>
        <w:jc w:val="center"/>
        <w:rPr>
          <w:b/>
          <w:szCs w:val="24"/>
        </w:rPr>
      </w:pPr>
    </w:p>
    <w:p w:rsidR="000176DF" w:rsidRPr="000176DF" w:rsidRDefault="000176DF" w:rsidP="000176DF">
      <w:pPr>
        <w:spacing w:after="0" w:line="360" w:lineRule="auto"/>
        <w:ind w:left="0" w:right="0" w:firstLine="0"/>
        <w:rPr>
          <w:rFonts w:eastAsia="Times New Roman"/>
          <w:b/>
          <w:color w:val="auto"/>
          <w:szCs w:val="24"/>
          <w:lang w:eastAsia="es-ES"/>
        </w:rPr>
      </w:pPr>
      <w:r w:rsidRPr="000176DF">
        <w:rPr>
          <w:rFonts w:eastAsia="Times New Roman"/>
          <w:b/>
          <w:color w:val="auto"/>
          <w:szCs w:val="24"/>
          <w:lang w:eastAsia="es-ES"/>
        </w:rPr>
        <w:t>Para modificar el Código Fiscal y la Ley de Tránsito y Vialidad ambas del Estado de Yucatán, en materia de enajenación de vehículos abandonados</w:t>
      </w:r>
    </w:p>
    <w:p w:rsidR="000176DF" w:rsidRPr="000176DF" w:rsidRDefault="000176DF" w:rsidP="000176DF">
      <w:pPr>
        <w:widowControl w:val="0"/>
        <w:autoSpaceDE w:val="0"/>
        <w:autoSpaceDN w:val="0"/>
        <w:adjustRightInd w:val="0"/>
        <w:spacing w:after="0" w:line="360" w:lineRule="auto"/>
        <w:ind w:left="708" w:right="0" w:firstLine="0"/>
        <w:jc w:val="left"/>
        <w:rPr>
          <w:rFonts w:eastAsia="Times New Roman" w:cs="Times New Roman"/>
          <w:b/>
          <w:bCs/>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val="es-ES" w:eastAsia="es-ES"/>
        </w:rPr>
      </w:pPr>
      <w:r w:rsidRPr="000176DF">
        <w:rPr>
          <w:rFonts w:eastAsia="Times New Roman"/>
          <w:b/>
          <w:color w:val="auto"/>
          <w:szCs w:val="24"/>
          <w:lang w:val="es-ES" w:eastAsia="es-ES"/>
        </w:rPr>
        <w:t xml:space="preserve">Artículo primero. </w:t>
      </w:r>
      <w:r w:rsidRPr="000176DF">
        <w:rPr>
          <w:rFonts w:eastAsia="Times New Roman"/>
          <w:color w:val="auto"/>
          <w:szCs w:val="24"/>
          <w:lang w:val="es-ES" w:eastAsia="es-ES"/>
        </w:rPr>
        <w:t>Se adiciona el CAPÍTULO IV denominado “</w:t>
      </w:r>
      <w:r w:rsidRPr="000176DF">
        <w:rPr>
          <w:rFonts w:eastAsia="Times New Roman"/>
          <w:color w:val="auto"/>
          <w:szCs w:val="24"/>
          <w:lang w:eastAsia="es-ES"/>
        </w:rPr>
        <w:t xml:space="preserve">Del Procedimiento de </w:t>
      </w:r>
      <w:proofErr w:type="gramStart"/>
      <w:r w:rsidRPr="000176DF">
        <w:rPr>
          <w:rFonts w:eastAsia="Times New Roman"/>
          <w:color w:val="auto"/>
          <w:szCs w:val="24"/>
          <w:lang w:eastAsia="es-ES"/>
        </w:rPr>
        <w:t>declaratoria</w:t>
      </w:r>
      <w:proofErr w:type="gramEnd"/>
      <w:r w:rsidRPr="000176DF">
        <w:rPr>
          <w:rFonts w:eastAsia="Times New Roman"/>
          <w:color w:val="auto"/>
          <w:szCs w:val="24"/>
          <w:lang w:eastAsia="es-ES"/>
        </w:rPr>
        <w:t xml:space="preserve"> de abandono ante autoridades administrativas”</w:t>
      </w:r>
      <w:r w:rsidRPr="000176DF">
        <w:rPr>
          <w:rFonts w:eastAsia="Times New Roman"/>
          <w:color w:val="auto"/>
          <w:szCs w:val="24"/>
          <w:lang w:val="es-ES" w:eastAsia="es-ES"/>
        </w:rPr>
        <w:t xml:space="preserve"> al título quinto, que contiene los artículos 251, 252, 253, 254, 255, 256 y 257 todos al Código Fiscal del Estado de Yucatán, para quedar como sigue:</w:t>
      </w: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0"/>
        <w:jc w:val="center"/>
        <w:rPr>
          <w:rFonts w:eastAsia="Times New Roman"/>
          <w:b/>
          <w:color w:val="auto"/>
          <w:szCs w:val="24"/>
          <w:lang w:eastAsia="es-ES"/>
        </w:rPr>
      </w:pPr>
      <w:r w:rsidRPr="000176DF">
        <w:rPr>
          <w:rFonts w:eastAsia="Times New Roman"/>
          <w:b/>
          <w:bCs/>
          <w:color w:val="auto"/>
          <w:szCs w:val="24"/>
          <w:lang w:eastAsia="es-ES"/>
        </w:rPr>
        <w:t>CAPÍTULO IV</w:t>
      </w:r>
      <w:r w:rsidRPr="000176DF">
        <w:rPr>
          <w:rFonts w:eastAsia="Times New Roman"/>
          <w:b/>
          <w:bCs/>
          <w:color w:val="auto"/>
          <w:szCs w:val="24"/>
          <w:lang w:eastAsia="es-ES"/>
        </w:rPr>
        <w:br/>
      </w:r>
      <w:r w:rsidRPr="000176DF">
        <w:rPr>
          <w:rFonts w:eastAsia="Times New Roman"/>
          <w:b/>
          <w:color w:val="auto"/>
          <w:szCs w:val="24"/>
          <w:lang w:eastAsia="es-ES"/>
        </w:rPr>
        <w:t>Del Procedimiento de declaratoria de abandono ante autoridades administrativas</w:t>
      </w:r>
    </w:p>
    <w:p w:rsidR="000176DF" w:rsidRPr="000176DF" w:rsidRDefault="000176DF" w:rsidP="000176DF">
      <w:pPr>
        <w:widowControl w:val="0"/>
        <w:autoSpaceDE w:val="0"/>
        <w:autoSpaceDN w:val="0"/>
        <w:adjustRightInd w:val="0"/>
        <w:spacing w:after="0" w:line="360" w:lineRule="auto"/>
        <w:ind w:left="0" w:right="0" w:firstLine="0"/>
        <w:jc w:val="center"/>
        <w:rPr>
          <w:rFonts w:eastAsia="Times New Roman"/>
          <w:b/>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eastAsia="es-ES"/>
        </w:rPr>
      </w:pPr>
      <w:r w:rsidRPr="000176DF">
        <w:rPr>
          <w:rFonts w:eastAsia="Times New Roman"/>
          <w:b/>
          <w:bCs/>
          <w:color w:val="auto"/>
          <w:szCs w:val="24"/>
          <w:lang w:eastAsia="es-ES"/>
        </w:rPr>
        <w:t xml:space="preserve">Artículo 251. </w:t>
      </w:r>
      <w:r w:rsidRPr="000176DF">
        <w:rPr>
          <w:rFonts w:eastAsia="Times New Roman"/>
          <w:color w:val="auto"/>
          <w:szCs w:val="24"/>
          <w:lang w:eastAsia="es-ES"/>
        </w:rPr>
        <w:t>Los bienes abandonados en beneficio del estado de Yucatán, ante autoridades distintas a las fiscales conforme a las leyes administrativas aplicables, quedarán en custodia de las autoridades encargadas de su almacenaje, junto con la documentación que justifique los actos, la cual deberá ser proporcionada a estas por las autoridades que originaron el almacenaje, para su guarda, aplicación, adjudicación, remate o venta, donación o destrucción, según proceda.</w:t>
      </w: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color w:val="auto"/>
          <w:szCs w:val="24"/>
          <w:lang w:eastAsia="es-ES"/>
        </w:rPr>
        <w:t xml:space="preserve">Los bienes a que se refiere este artículo deberán inventariarse y mantenerse actualizado. Dicho inventario deberá cotejarse con el control administrativo a cargo </w:t>
      </w:r>
      <w:r w:rsidRPr="000176DF">
        <w:rPr>
          <w:rFonts w:eastAsia="Times New Roman"/>
          <w:color w:val="auto"/>
          <w:szCs w:val="24"/>
          <w:lang w:eastAsia="es-ES"/>
        </w:rPr>
        <w:lastRenderedPageBreak/>
        <w:t>del propio Gobierno estatal y, en caso de diferencias entre el control físico y administrativo, deberá darse vista al órgano de control interno correspondiente, a efecto de deslindar responsabilidades de las personas que estén a cargo de esos controles.</w:t>
      </w:r>
    </w:p>
    <w:p w:rsid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color w:val="auto"/>
          <w:szCs w:val="24"/>
          <w:lang w:eastAsia="es-ES"/>
        </w:rPr>
        <w:t>Los bienes y valores que se encuentren a disposición de la autoridad investigadora del Ministerio Público o de las autoridades judiciales, conforme al Código Penal del Estado de Yucatán, y que hubieran causado abandono, se venderán e invertirán de conformidad con las disposiciones legales y administrativas aplicables. El procedimiento administrativo de venta estará a cargo de la Fiscalía General del Estado o del Consejo de la Judicatura. Los bienes perecederos de consumo y durables y aquellos que carezcan de valor o este sea menor a lo que pudiera costar su enajenación, podrán ser donados a instituciones de asistencia pública del estado de Yucatán, en los términos y condiciones que se establezcan, mediante acuerdo que emita la Fiscalía General del Estado o el Consejo de la Judicatura.</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t>Artículo 252.</w:t>
      </w:r>
      <w:r w:rsidRPr="000176DF">
        <w:rPr>
          <w:rFonts w:eastAsia="Times New Roman"/>
          <w:color w:val="auto"/>
          <w:szCs w:val="24"/>
          <w:lang w:eastAsia="es-ES"/>
        </w:rPr>
        <w:t xml:space="preserve"> Para los créditos fiscales inherentes a los bienes abandonados, operará de pleno derecho su cancelación sin necesidad de autorización alguna, para lo cual, la autoridad encargada del almacenaje de bienes deberá remitir la documentación respectiva a la Agencia de Administración Fiscal de Yucatán a fin de que se reconozca dicha cancelación en los registros que correspondan.</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color w:val="auto"/>
          <w:szCs w:val="24"/>
          <w:lang w:eastAsia="es-ES"/>
        </w:rPr>
        <w:t>No se generará el cobro de los derechos de almacenaje previstos en el artículo 55 de la Ley General de Hacienda del Estado de Yucatán, cuando se trate de bienes del Gobierno del estado a que se refiere este capítulo.</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lastRenderedPageBreak/>
        <w:t>Artículo 253.</w:t>
      </w:r>
      <w:r w:rsidRPr="000176DF">
        <w:rPr>
          <w:rFonts w:eastAsia="Times New Roman"/>
          <w:color w:val="auto"/>
          <w:szCs w:val="24"/>
          <w:lang w:eastAsia="es-ES"/>
        </w:rPr>
        <w:t xml:space="preserve"> Una vez que la autoridad encargada del almacenaje verifique la documentación comprobatoria que le entregue la autoridad que ordenó o solicitó el almacenaje, a fin de constatar que esta notificó al interesado que el bien quedó a su disposición a partir de que surtió efectos la notificación correspondiente, la autoridad encargada del almacenaje hará del conocimiento de la Secretaría de Administración y Finanzas esta situación, a efecto de que esta, o la unidad administrativa en quien delegue esta función, determine el destino de los bienes abandonados, que podrán ser:</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t>I.</w:t>
      </w:r>
      <w:r w:rsidRPr="000176DF">
        <w:rPr>
          <w:rFonts w:eastAsia="Times New Roman"/>
          <w:color w:val="auto"/>
          <w:szCs w:val="24"/>
          <w:lang w:eastAsia="es-ES"/>
        </w:rPr>
        <w:t xml:space="preserve"> Rematados en subasta pública, conforme a lo previsto en los artículos 459, 460, 461, 463, 464, 465, 466, 476, 477 y 478 el Código de Procedimientos Civiles del Estado de Yucatán, en donde la Secretaría de Administración y Finanzas ejercerá las funciones que el referido código otorga al juez.</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color w:val="auto"/>
          <w:szCs w:val="24"/>
          <w:lang w:eastAsia="es-ES"/>
        </w:rPr>
        <w:t>El avalúo de los bienes será practicado por la Secretaría de Administración y Finanzas o por peritos, instituciones de crédito, agentes especializados o corredores públicos y deberán consignar, al menos, el valor comercial y el de realización inmediata.</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color w:val="auto"/>
          <w:szCs w:val="24"/>
          <w:lang w:eastAsia="es-ES"/>
        </w:rPr>
        <w:t>Para la realización del remate de bienes se anunciará su venta mediante la publicación de un aviso en el Diario Oficial del Gobierno del Estado de Yucatán y en, al menos, un diario de circulación estatal, así como a través de medios electrónicos, por lo menos una vez al año.</w:t>
      </w:r>
    </w:p>
    <w:p w:rsidR="000176DF" w:rsidRPr="000176DF" w:rsidRDefault="000176DF" w:rsidP="000176DF">
      <w:pPr>
        <w:widowControl w:val="0"/>
        <w:autoSpaceDE w:val="0"/>
        <w:autoSpaceDN w:val="0"/>
        <w:adjustRightInd w:val="0"/>
        <w:spacing w:after="0" w:line="360" w:lineRule="auto"/>
        <w:ind w:left="0" w:right="0" w:firstLine="708"/>
        <w:rPr>
          <w:rFonts w:eastAsia="Times New Roman"/>
          <w:b/>
          <w:color w:val="auto"/>
          <w:szCs w:val="24"/>
          <w:u w:val="single"/>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color w:val="auto"/>
          <w:szCs w:val="24"/>
          <w:lang w:val="es-ES" w:eastAsia="es-ES"/>
        </w:rPr>
        <w:t xml:space="preserve">En la formulación de la postura, el oferente deberá entregar, en el acto del remate, a la Secretaría de Administración y Finanzas el monto para cubrir la garantía que se fije en el aviso a que se refiere el párrafo anterior, la cual será devuelta al oferente una vez fincado el remate si este no resulta ganador o, en caso contrario, </w:t>
      </w:r>
      <w:r w:rsidRPr="000176DF">
        <w:rPr>
          <w:rFonts w:eastAsia="Times New Roman"/>
          <w:color w:val="auto"/>
          <w:szCs w:val="24"/>
          <w:lang w:val="es-ES" w:eastAsia="es-ES"/>
        </w:rPr>
        <w:lastRenderedPageBreak/>
        <w:t>aplicada al pago del bien adjudicado.</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color w:val="auto"/>
          <w:szCs w:val="24"/>
          <w:lang w:val="es-ES" w:eastAsia="es-ES"/>
        </w:rPr>
        <w:t>La Secretaría de Administración y Finanzas decidirá de plano conforme a las disposiciones aplicables, bajo su responsabilidad, sobre cualquier asunto que se suscite respecto al remate.</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b/>
          <w:color w:val="auto"/>
          <w:szCs w:val="24"/>
          <w:lang w:val="es-ES" w:eastAsia="es-ES"/>
        </w:rPr>
        <w:t>II.</w:t>
      </w:r>
      <w:r w:rsidRPr="000176DF">
        <w:rPr>
          <w:rFonts w:eastAsia="Times New Roman"/>
          <w:color w:val="auto"/>
          <w:szCs w:val="24"/>
          <w:lang w:val="es-ES" w:eastAsia="es-ES"/>
        </w:rPr>
        <w:t xml:space="preserve"> Enajenados fuera de remate, previo dictamen de la Secretaría de Administración y Finanzas, en el que haga constar por escrito que se trata de bienes de fácil descomposición o deterioro o de materiales inflamables o no fungibles; o que su conservación resulte incosteable para el estado; o que su valor sea menor de ciento cincuenta mil unidades de inversión; o que en primer remate público no se hayan vendido; o que exista una oferta para su compra presentada por alguna entidad paraestatal o por el gobierno de algún ayuntamiento.</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color w:val="auto"/>
          <w:szCs w:val="24"/>
          <w:lang w:val="es-ES" w:eastAsia="es-ES"/>
        </w:rPr>
        <w:t>Cuando no se trate de bienes chatarra, el valor base para la enajenación, podrá ser, el que se encuentra en la Lista de Valores Mínimos para Desechos de Bienes Muebles que Generen las Dependencias y Entidades de la Administración Pública Federal vigente, publicada en el Diario Oficial de la Federación, en casos de bienes no enlistados podrá realizar la enajenación por mejor precio ofertado.</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color w:val="auto"/>
          <w:szCs w:val="24"/>
          <w:lang w:val="es-ES" w:eastAsia="es-ES"/>
        </w:rPr>
        <w:t>El producto obtenido por la realización de los procedimientos previstos en los incisos I y II ingresará a la Agencia de Administración Fiscal de Yucatán.</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b/>
          <w:color w:val="auto"/>
          <w:szCs w:val="24"/>
          <w:lang w:val="es-ES" w:eastAsia="es-ES"/>
        </w:rPr>
        <w:t>III.</w:t>
      </w:r>
      <w:r w:rsidRPr="000176DF">
        <w:rPr>
          <w:rFonts w:eastAsia="Times New Roman"/>
          <w:color w:val="auto"/>
          <w:szCs w:val="24"/>
          <w:lang w:val="es-ES" w:eastAsia="es-ES"/>
        </w:rPr>
        <w:t xml:space="preserve"> Adjudicados a favor del estado de Yucatán, para que sean destinados para su uso en un área específica del propio Gobierno del estado, conforme a las reglas de carácter general que dicte la Secretaría de Administración y Finanzas.</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b/>
          <w:color w:val="auto"/>
          <w:szCs w:val="24"/>
          <w:lang w:val="es-ES" w:eastAsia="es-ES"/>
        </w:rPr>
        <w:t>IV.</w:t>
      </w:r>
      <w:r w:rsidRPr="000176DF">
        <w:rPr>
          <w:rFonts w:eastAsia="Times New Roman"/>
          <w:color w:val="auto"/>
          <w:szCs w:val="24"/>
          <w:lang w:val="es-ES" w:eastAsia="es-ES"/>
        </w:rPr>
        <w:t xml:space="preserve"> Destruidos cuando la Secretaría de Administración y Finanzas, en acuerdo con la autoridad encargada del almacenaje de los bienes, determine que la utilidad de los bienes antes referidos sea nula y no exista la posibilidad de obtener provecho alguno por su venta o de sus residuos. La Secretaría de Administración y Finanzas podrá ordenar dicha destrucción, previa resolución debidamente justificada y el levantamiento de un acta administrativa, en la que participe, en su caso, la autoridad que ordenó o solicitó el almacenaje de los bienes y la que fungió como almacenadora, en caso de ser diferentes.</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color w:val="auto"/>
          <w:szCs w:val="24"/>
          <w:lang w:val="es-ES" w:eastAsia="es-ES"/>
        </w:rPr>
        <w:t>En toda destrucción se deberán observar las disposiciones de seguridad, salud, protección al medio ambiente y demás que resulten aplicables.</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t>Artículo 254.</w:t>
      </w:r>
      <w:r w:rsidRPr="000176DF">
        <w:rPr>
          <w:rFonts w:eastAsia="Times New Roman"/>
          <w:color w:val="auto"/>
          <w:szCs w:val="24"/>
          <w:lang w:eastAsia="es-ES"/>
        </w:rPr>
        <w:t xml:space="preserve"> En los actos de remate, venta, adjudicación al estado de Yucatán, donación o destrucción, intervendrá un representante de la Secretaría de la Contraloría General.</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t xml:space="preserve">Artículo 255. </w:t>
      </w:r>
      <w:r w:rsidRPr="000176DF">
        <w:rPr>
          <w:rFonts w:eastAsia="Times New Roman"/>
          <w:color w:val="auto"/>
          <w:szCs w:val="24"/>
          <w:lang w:eastAsia="es-ES"/>
        </w:rPr>
        <w:t>Para los efectos de este código, se entenderá por bienes chatarra, aquellos que se encuentren deteriorados, inservibles, destruidos, desbaratados, podridos o inutilizados permanentemente.</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t>Artículo 256.</w:t>
      </w:r>
      <w:r w:rsidRPr="000176DF">
        <w:rPr>
          <w:rFonts w:eastAsia="Times New Roman"/>
          <w:color w:val="auto"/>
          <w:szCs w:val="24"/>
          <w:lang w:eastAsia="es-ES"/>
        </w:rPr>
        <w:t xml:space="preserve"> Cuando se determine la destrucción de los bienes, la autoridad encargada de almacenarlos deberá realizar un inventario de los bienes que se encuentren en sus depósitos, bodegas o locales, el cual constará en un acta debidamente circunstanciada en presencia de fedatario público, a efecto de hacer constar el estado en que se encuentran al momento en que se practique el inventario y el deterioro que guardan.</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color w:val="auto"/>
          <w:szCs w:val="24"/>
          <w:lang w:eastAsia="es-ES"/>
        </w:rPr>
        <w:t>El producto de la enajenación de los vehículos remitidos a los depósitos vehiculares por los municipios, se destinará al municipio que los haya remitido, como recursos de aplicación automática, de conformidad con la normativa aplicable, para destinarlos a obras y trabajos para mejoramiento urbano del municipio, y programas ambientales.</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t xml:space="preserve">Artículo 257. </w:t>
      </w:r>
      <w:r w:rsidRPr="000176DF">
        <w:rPr>
          <w:rFonts w:eastAsia="Times New Roman"/>
          <w:color w:val="auto"/>
          <w:szCs w:val="24"/>
          <w:lang w:eastAsia="es-ES"/>
        </w:rPr>
        <w:t>Cuando de la documentación relativa a los bienes abandonados se desprenda la existencia de impedimentos legales para disponer de ellos, la autoridad encargada de su almacenaje lo informará a la Secretaría de Administración y Finanzas para que se abstenga de continuar con los procedimientos establecidos en este capítulo, en tanto desaparece el impedimento.</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val="es-ES" w:eastAsia="es-ES"/>
        </w:rPr>
      </w:pPr>
      <w:r w:rsidRPr="000176DF">
        <w:rPr>
          <w:rFonts w:eastAsia="Times New Roman"/>
          <w:b/>
          <w:color w:val="auto"/>
          <w:szCs w:val="24"/>
          <w:lang w:val="es-ES" w:eastAsia="es-ES"/>
        </w:rPr>
        <w:t xml:space="preserve">Artículo segundo. </w:t>
      </w:r>
      <w:r w:rsidRPr="000176DF">
        <w:rPr>
          <w:rFonts w:eastAsia="Times New Roman"/>
          <w:color w:val="auto"/>
          <w:szCs w:val="24"/>
          <w:lang w:val="es-ES" w:eastAsia="es-ES"/>
        </w:rPr>
        <w:t>Se adicionan los artículos 80 bis y 82 bis ambos a la Ley de Tránsito y Vialidad del Estado de Yucatán, para quedar como sigue:</w:t>
      </w: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t>Artículo 80 bis.-</w:t>
      </w:r>
      <w:r w:rsidRPr="000176DF">
        <w:rPr>
          <w:rFonts w:eastAsia="Times New Roman"/>
          <w:color w:val="auto"/>
          <w:szCs w:val="24"/>
          <w:lang w:eastAsia="es-ES"/>
        </w:rPr>
        <w:t xml:space="preserve"> Cuando se trate de operativos llevados a cabo por la Secretaría de Seguridad Pública, con el objeto de retirar de la vía pública vehículos chatarra o abandonados, deberá identificarlos, para verificar si cuentan o están relacionados con un reporte de robo o algún otro delito, para, en caso afirmativo, ponerlos a disposición del ministerio público, quien actuará en el marco de sus atribuciones.</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color w:val="auto"/>
          <w:szCs w:val="24"/>
          <w:lang w:eastAsia="es-ES"/>
        </w:rPr>
        <w:t>En caso de que no se encuentren datos que relacionen los vehículos con hechos delictivos, la Secretaría de Seguridad Pública procederá conforme al artículo 82 bis.</w:t>
      </w:r>
    </w:p>
    <w:p w:rsid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b/>
          <w:color w:val="auto"/>
          <w:szCs w:val="24"/>
          <w:lang w:eastAsia="es-ES"/>
        </w:rPr>
        <w:t>Artículo 82 bis.-</w:t>
      </w:r>
      <w:r w:rsidRPr="000176DF">
        <w:rPr>
          <w:rFonts w:eastAsia="Times New Roman"/>
          <w:color w:val="auto"/>
          <w:szCs w:val="24"/>
          <w:lang w:eastAsia="es-ES"/>
        </w:rPr>
        <w:t xml:space="preserve"> Los propietarios de los vehículos que se encuentren retenidos en los depósitos vehiculares a cargo del estado solo podrán retirarlos acreditando el interés jurídico, presentando la documentación que justifique el retiro y cubriendo el monto de los derechos a su cargo, conforme a la Ley General de Hacienda del Estado de Yucatán.</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r w:rsidRPr="000176DF">
        <w:rPr>
          <w:rFonts w:eastAsia="Times New Roman"/>
          <w:color w:val="auto"/>
          <w:szCs w:val="24"/>
          <w:lang w:eastAsia="es-ES"/>
        </w:rPr>
        <w:t>Si han transcurrido sesenta días naturales de que el vehículo quedó a disposición del propietario y este no lo retira, en cumplimiento de esta ley y su reglamento, causará abandono a favor de estado y se seguirá el procedimiento establecido para bienes abandonados, previsto en el Código Fiscal del Estado de Yucatán. Se considera que el vehículo quedó a disposición del propietario a partir del día que surtió efectos la notificación que realice la autoridad administrativa competente.</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color w:val="auto"/>
          <w:szCs w:val="24"/>
          <w:lang w:val="es-ES" w:eastAsia="es-ES"/>
        </w:rPr>
        <w:t>Para efectos de la notificación a que se refiere el párrafo anterior, la Secretaría de Seguridad Pública deberá publicar en su sitio web y en el Diario Oficial del Gobierno del Estado de Yucatán los datos identificativos del vehículo en la fecha de ingreso, señalando el nombre del propietario del bien, en caso de que se conozca, la fecha y el lugar del que fue retirado, la fecha en que ingresó en el depósito vehicular, así como el nombre y ubicación del depósito en el que se encuentra, momento a partir del cual se entenderá que queda a disposición del propietario.</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r w:rsidRPr="000176DF">
        <w:rPr>
          <w:rFonts w:eastAsia="Times New Roman"/>
          <w:color w:val="auto"/>
          <w:szCs w:val="24"/>
          <w:lang w:val="es-ES" w:eastAsia="es-ES"/>
        </w:rPr>
        <w:t>El plazo de abandono a que se refiere este artículo se interrumpirá por la interposición de algún medio de defensa en contra del acto o procedimiento que dio origen al almacenaje, hasta que se resuelva de manera definitiva.</w:t>
      </w: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708"/>
        <w:jc w:val="left"/>
        <w:rPr>
          <w:rFonts w:eastAsia="Times New Roman"/>
          <w:b/>
          <w:color w:val="auto"/>
          <w:szCs w:val="24"/>
          <w:lang w:val="en-US" w:eastAsia="es-ES"/>
        </w:rPr>
      </w:pPr>
      <w:r w:rsidRPr="00EE3A1B">
        <w:rPr>
          <w:rFonts w:eastAsia="Times New Roman"/>
          <w:b/>
          <w:color w:val="auto"/>
          <w:szCs w:val="24"/>
          <w:lang w:eastAsia="es-ES"/>
        </w:rPr>
        <w:t xml:space="preserve">                                         </w:t>
      </w:r>
      <w:r w:rsidRPr="000176DF">
        <w:rPr>
          <w:rFonts w:eastAsia="Times New Roman"/>
          <w:b/>
          <w:color w:val="auto"/>
          <w:szCs w:val="24"/>
          <w:lang w:val="en-US" w:eastAsia="es-ES"/>
        </w:rPr>
        <w:t xml:space="preserve">T r a n s </w:t>
      </w:r>
      <w:proofErr w:type="spellStart"/>
      <w:r w:rsidRPr="000176DF">
        <w:rPr>
          <w:rFonts w:eastAsia="Times New Roman"/>
          <w:b/>
          <w:color w:val="auto"/>
          <w:szCs w:val="24"/>
          <w:lang w:val="en-US" w:eastAsia="es-ES"/>
        </w:rPr>
        <w:t>i</w:t>
      </w:r>
      <w:proofErr w:type="spellEnd"/>
      <w:r w:rsidRPr="000176DF">
        <w:rPr>
          <w:rFonts w:eastAsia="Times New Roman"/>
          <w:b/>
          <w:color w:val="auto"/>
          <w:szCs w:val="24"/>
          <w:lang w:val="en-US" w:eastAsia="es-ES"/>
        </w:rPr>
        <w:t xml:space="preserve"> t o r </w:t>
      </w:r>
      <w:proofErr w:type="spellStart"/>
      <w:r w:rsidRPr="000176DF">
        <w:rPr>
          <w:rFonts w:eastAsia="Times New Roman"/>
          <w:b/>
          <w:color w:val="auto"/>
          <w:szCs w:val="24"/>
          <w:lang w:val="en-US" w:eastAsia="es-ES"/>
        </w:rPr>
        <w:t>i</w:t>
      </w:r>
      <w:proofErr w:type="spellEnd"/>
      <w:r w:rsidRPr="000176DF">
        <w:rPr>
          <w:rFonts w:eastAsia="Times New Roman"/>
          <w:b/>
          <w:color w:val="auto"/>
          <w:szCs w:val="24"/>
          <w:lang w:val="en-US" w:eastAsia="es-ES"/>
        </w:rPr>
        <w:t xml:space="preserve"> o s</w:t>
      </w:r>
    </w:p>
    <w:p w:rsidR="000176DF" w:rsidRPr="000176DF" w:rsidRDefault="000176DF" w:rsidP="000176DF">
      <w:pPr>
        <w:widowControl w:val="0"/>
        <w:autoSpaceDE w:val="0"/>
        <w:autoSpaceDN w:val="0"/>
        <w:adjustRightInd w:val="0"/>
        <w:spacing w:after="0" w:line="360" w:lineRule="auto"/>
        <w:ind w:left="0" w:right="0" w:firstLine="708"/>
        <w:jc w:val="center"/>
        <w:rPr>
          <w:rFonts w:eastAsia="Times New Roman"/>
          <w:b/>
          <w:color w:val="auto"/>
          <w:szCs w:val="24"/>
          <w:lang w:val="en-US" w:eastAsia="es-ES"/>
        </w:rPr>
      </w:pPr>
    </w:p>
    <w:p w:rsidR="000176DF" w:rsidRPr="000176DF" w:rsidRDefault="000176DF" w:rsidP="000176DF">
      <w:pPr>
        <w:spacing w:after="0" w:line="240" w:lineRule="auto"/>
        <w:ind w:left="0" w:right="0" w:firstLine="0"/>
        <w:rPr>
          <w:rFonts w:eastAsia="Times New Roman"/>
          <w:b/>
          <w:color w:val="auto"/>
          <w:szCs w:val="24"/>
          <w:lang w:val="es-ES" w:eastAsia="es-ES"/>
        </w:rPr>
      </w:pPr>
      <w:r w:rsidRPr="000176DF">
        <w:rPr>
          <w:rFonts w:eastAsia="Times New Roman"/>
          <w:b/>
          <w:color w:val="auto"/>
          <w:szCs w:val="24"/>
          <w:lang w:val="es-ES" w:eastAsia="es-ES"/>
        </w:rPr>
        <w:t>Artículo primero. Entrada en vigor</w:t>
      </w:r>
    </w:p>
    <w:p w:rsidR="000176DF" w:rsidRPr="000176DF" w:rsidRDefault="000176DF" w:rsidP="000176DF">
      <w:pPr>
        <w:spacing w:after="0" w:line="240" w:lineRule="auto"/>
        <w:ind w:left="0" w:right="0" w:firstLine="0"/>
        <w:rPr>
          <w:rFonts w:eastAsia="Times New Roman"/>
          <w:b/>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val="es-ES" w:eastAsia="es-ES"/>
        </w:rPr>
      </w:pPr>
      <w:r w:rsidRPr="000176DF">
        <w:rPr>
          <w:rFonts w:eastAsia="Times New Roman"/>
          <w:color w:val="auto"/>
          <w:szCs w:val="24"/>
          <w:lang w:val="es-ES" w:eastAsia="es-ES"/>
        </w:rPr>
        <w:t>Este decreto entrará en vigor el día siguiente al de su publicación en el Diario Oficial del Gobierno del Estado de Yucatán.</w:t>
      </w: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val="es-ES" w:eastAsia="es-ES"/>
        </w:rPr>
      </w:pPr>
    </w:p>
    <w:p w:rsidR="000176DF" w:rsidRPr="000176DF" w:rsidRDefault="000176DF" w:rsidP="000176DF">
      <w:pPr>
        <w:widowControl w:val="0"/>
        <w:autoSpaceDE w:val="0"/>
        <w:autoSpaceDN w:val="0"/>
        <w:adjustRightInd w:val="0"/>
        <w:spacing w:after="0" w:line="360" w:lineRule="auto"/>
        <w:ind w:left="0" w:right="0" w:firstLine="0"/>
        <w:rPr>
          <w:rFonts w:eastAsia="Times New Roman"/>
          <w:b/>
          <w:color w:val="auto"/>
          <w:szCs w:val="24"/>
          <w:lang w:val="es-ES" w:eastAsia="es-ES"/>
        </w:rPr>
      </w:pPr>
      <w:r w:rsidRPr="000176DF">
        <w:rPr>
          <w:rFonts w:eastAsia="Times New Roman"/>
          <w:b/>
          <w:color w:val="auto"/>
          <w:szCs w:val="24"/>
          <w:lang w:val="es-ES" w:eastAsia="es-ES"/>
        </w:rPr>
        <w:t>Artículo segundo. Plazo para actualizar el inventario</w:t>
      </w:r>
    </w:p>
    <w:p w:rsidR="000176DF" w:rsidRPr="000176DF" w:rsidRDefault="000176DF" w:rsidP="000176DF">
      <w:pPr>
        <w:widowControl w:val="0"/>
        <w:autoSpaceDE w:val="0"/>
        <w:autoSpaceDN w:val="0"/>
        <w:adjustRightInd w:val="0"/>
        <w:spacing w:after="0" w:line="360" w:lineRule="auto"/>
        <w:ind w:left="0" w:right="0" w:firstLine="0"/>
        <w:rPr>
          <w:rFonts w:eastAsia="Times New Roman"/>
          <w:color w:val="auto"/>
          <w:szCs w:val="24"/>
          <w:lang w:val="es-ES" w:eastAsia="es-ES"/>
        </w:rPr>
      </w:pPr>
      <w:r w:rsidRPr="000176DF">
        <w:rPr>
          <w:rFonts w:eastAsia="Times New Roman"/>
          <w:color w:val="auto"/>
          <w:szCs w:val="24"/>
          <w:lang w:val="es-ES" w:eastAsia="es-ES"/>
        </w:rPr>
        <w:t>El proceso de inventario se realizará en un plazo de seis meses a partir de la entrada en vigor de este Decreto.</w:t>
      </w:r>
    </w:p>
    <w:p w:rsidR="000E35C3" w:rsidRPr="000176DF" w:rsidRDefault="000E35C3" w:rsidP="000E35C3">
      <w:pPr>
        <w:spacing w:after="0" w:line="240" w:lineRule="auto"/>
        <w:ind w:left="0" w:right="0" w:firstLine="0"/>
        <w:rPr>
          <w:rFonts w:eastAsia="Calibri"/>
          <w:color w:val="auto"/>
          <w:szCs w:val="24"/>
          <w:lang w:val="es-ES" w:eastAsia="en-US"/>
        </w:rPr>
      </w:pPr>
    </w:p>
    <w:p w:rsidR="000E35C3" w:rsidRPr="001820C4" w:rsidRDefault="000E35C3" w:rsidP="000E35C3">
      <w:pPr>
        <w:shd w:val="clear" w:color="auto" w:fill="FFFFFF"/>
        <w:adjustRightInd w:val="0"/>
        <w:spacing w:after="0"/>
        <w:ind w:left="0" w:right="-6"/>
        <w:rPr>
          <w:b/>
          <w:bCs/>
          <w:sz w:val="22"/>
        </w:rPr>
      </w:pPr>
      <w:r w:rsidRPr="001820C4">
        <w:rPr>
          <w:b/>
          <w:bCs/>
          <w:sz w:val="22"/>
        </w:rPr>
        <w:t>DADO EN LA SEDE DEL RECINTO DEL PODER LEGISLATIVO EN LA CIUDAD DE MÉRIDA, YUCATÁN, ESTADOS UNIDOS MEXICANOS A</w:t>
      </w:r>
      <w:r>
        <w:rPr>
          <w:b/>
          <w:bCs/>
          <w:sz w:val="22"/>
        </w:rPr>
        <w:t xml:space="preserve"> </w:t>
      </w:r>
      <w:r w:rsidR="000176DF">
        <w:rPr>
          <w:b/>
          <w:bCs/>
          <w:sz w:val="22"/>
        </w:rPr>
        <w:t>LOS VEINTISIETE</w:t>
      </w:r>
      <w:r>
        <w:rPr>
          <w:b/>
          <w:bCs/>
          <w:sz w:val="22"/>
        </w:rPr>
        <w:t xml:space="preserve"> </w:t>
      </w:r>
      <w:r w:rsidRPr="001820C4">
        <w:rPr>
          <w:b/>
          <w:bCs/>
          <w:sz w:val="22"/>
        </w:rPr>
        <w:t>DÍA</w:t>
      </w:r>
      <w:r>
        <w:rPr>
          <w:b/>
          <w:bCs/>
          <w:sz w:val="22"/>
        </w:rPr>
        <w:t>S</w:t>
      </w:r>
      <w:r w:rsidR="000176DF">
        <w:rPr>
          <w:b/>
          <w:bCs/>
          <w:sz w:val="22"/>
        </w:rPr>
        <w:t xml:space="preserve"> DEL MES DE NOVIEMBRE</w:t>
      </w:r>
      <w:r w:rsidRPr="001820C4">
        <w:rPr>
          <w:b/>
          <w:bCs/>
          <w:sz w:val="22"/>
        </w:rPr>
        <w:t xml:space="preserve"> DEL AÑO DOS MIL DIECINUEVE.</w:t>
      </w:r>
    </w:p>
    <w:p w:rsidR="000E35C3" w:rsidRPr="001820C4" w:rsidRDefault="000E35C3" w:rsidP="000E35C3">
      <w:pPr>
        <w:shd w:val="clear" w:color="auto" w:fill="FFFFFF"/>
        <w:adjustRightInd w:val="0"/>
        <w:spacing w:after="0"/>
        <w:ind w:left="0" w:firstLine="709"/>
        <w:jc w:val="center"/>
        <w:rPr>
          <w:b/>
          <w:bCs/>
          <w:sz w:val="22"/>
        </w:rPr>
      </w:pPr>
    </w:p>
    <w:p w:rsidR="000E35C3" w:rsidRPr="001820C4" w:rsidRDefault="000E35C3" w:rsidP="000E35C3">
      <w:pPr>
        <w:spacing w:after="0" w:line="360" w:lineRule="auto"/>
        <w:ind w:left="0"/>
        <w:jc w:val="center"/>
        <w:rPr>
          <w:b/>
          <w:sz w:val="22"/>
        </w:rPr>
      </w:pPr>
      <w:r w:rsidRPr="001820C4">
        <w:rPr>
          <w:b/>
          <w:sz w:val="22"/>
        </w:rPr>
        <w:t>PRESIDENTE:</w:t>
      </w:r>
    </w:p>
    <w:p w:rsidR="000E35C3" w:rsidRPr="001820C4" w:rsidRDefault="000E35C3" w:rsidP="000E35C3">
      <w:pPr>
        <w:spacing w:after="0" w:line="360" w:lineRule="auto"/>
        <w:ind w:left="0"/>
        <w:jc w:val="center"/>
        <w:rPr>
          <w:b/>
          <w:sz w:val="22"/>
        </w:rPr>
      </w:pPr>
    </w:p>
    <w:p w:rsidR="000E35C3" w:rsidRPr="001820C4" w:rsidRDefault="000E35C3" w:rsidP="000E35C3">
      <w:pPr>
        <w:spacing w:after="0" w:line="360" w:lineRule="auto"/>
        <w:ind w:left="0"/>
        <w:jc w:val="center"/>
        <w:rPr>
          <w:b/>
          <w:sz w:val="22"/>
        </w:rPr>
      </w:pPr>
      <w:r w:rsidRPr="001820C4">
        <w:rPr>
          <w:b/>
          <w:sz w:val="22"/>
        </w:rPr>
        <w:t>DIP. MARTÍN ENRIQUE CASTILLO RUZ.</w:t>
      </w:r>
    </w:p>
    <w:p w:rsidR="000E35C3" w:rsidRPr="001820C4" w:rsidRDefault="000E35C3" w:rsidP="000E35C3">
      <w:pPr>
        <w:spacing w:after="0" w:line="360" w:lineRule="auto"/>
        <w:ind w:left="0"/>
        <w:jc w:val="center"/>
        <w:rPr>
          <w:b/>
          <w:sz w:val="22"/>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0E35C3" w:rsidRPr="001820C4" w:rsidTr="001C157C">
        <w:trPr>
          <w:jc w:val="center"/>
        </w:trPr>
        <w:tc>
          <w:tcPr>
            <w:tcW w:w="5032" w:type="dxa"/>
          </w:tcPr>
          <w:p w:rsidR="000E35C3" w:rsidRPr="001820C4" w:rsidRDefault="000176DF" w:rsidP="000E35C3">
            <w:pPr>
              <w:spacing w:after="0" w:line="360" w:lineRule="auto"/>
              <w:ind w:left="0"/>
              <w:jc w:val="center"/>
              <w:rPr>
                <w:b/>
                <w:sz w:val="22"/>
              </w:rPr>
            </w:pPr>
            <w:r>
              <w:rPr>
                <w:b/>
                <w:sz w:val="22"/>
              </w:rPr>
              <w:t>SECRETARIO</w:t>
            </w:r>
            <w:r w:rsidR="000E35C3" w:rsidRPr="001820C4">
              <w:rPr>
                <w:b/>
                <w:sz w:val="22"/>
              </w:rPr>
              <w:t>:</w:t>
            </w:r>
          </w:p>
          <w:p w:rsidR="000E35C3" w:rsidRPr="001820C4" w:rsidRDefault="000E35C3" w:rsidP="000E35C3">
            <w:pPr>
              <w:spacing w:after="0" w:line="360" w:lineRule="auto"/>
              <w:ind w:left="0"/>
              <w:rPr>
                <w:b/>
                <w:sz w:val="22"/>
              </w:rPr>
            </w:pPr>
          </w:p>
          <w:p w:rsidR="000E35C3" w:rsidRPr="001820C4" w:rsidRDefault="00EE3A1B" w:rsidP="000E35C3">
            <w:pPr>
              <w:spacing w:after="0" w:line="360" w:lineRule="auto"/>
              <w:ind w:left="0"/>
              <w:jc w:val="center"/>
              <w:rPr>
                <w:b/>
                <w:sz w:val="22"/>
              </w:rPr>
            </w:pPr>
            <w:r>
              <w:rPr>
                <w:b/>
                <w:sz w:val="22"/>
              </w:rPr>
              <w:t>DIP. MIGUEL ESTEBAN RODRÍ</w:t>
            </w:r>
            <w:r w:rsidR="000176DF">
              <w:rPr>
                <w:b/>
                <w:sz w:val="22"/>
              </w:rPr>
              <w:t>GUEZ BAQUEIRO</w:t>
            </w:r>
            <w:r w:rsidR="000E35C3" w:rsidRPr="001820C4">
              <w:rPr>
                <w:b/>
                <w:sz w:val="22"/>
              </w:rPr>
              <w:t>.</w:t>
            </w:r>
          </w:p>
        </w:tc>
        <w:tc>
          <w:tcPr>
            <w:tcW w:w="4831" w:type="dxa"/>
          </w:tcPr>
          <w:p w:rsidR="000E35C3" w:rsidRPr="001820C4" w:rsidRDefault="000E35C3" w:rsidP="000E35C3">
            <w:pPr>
              <w:spacing w:after="0" w:line="360" w:lineRule="auto"/>
              <w:ind w:left="0"/>
              <w:jc w:val="center"/>
              <w:rPr>
                <w:b/>
                <w:sz w:val="22"/>
              </w:rPr>
            </w:pPr>
            <w:r w:rsidRPr="001820C4">
              <w:rPr>
                <w:b/>
                <w:sz w:val="22"/>
              </w:rPr>
              <w:t>SECRETARIO:</w:t>
            </w:r>
          </w:p>
          <w:p w:rsidR="000E35C3" w:rsidRPr="001820C4" w:rsidRDefault="000E35C3" w:rsidP="000E35C3">
            <w:pPr>
              <w:spacing w:after="0" w:line="360" w:lineRule="auto"/>
              <w:ind w:left="0"/>
              <w:rPr>
                <w:b/>
                <w:sz w:val="22"/>
              </w:rPr>
            </w:pPr>
          </w:p>
          <w:p w:rsidR="000E35C3" w:rsidRPr="001820C4" w:rsidRDefault="000E35C3" w:rsidP="000E35C3">
            <w:pPr>
              <w:spacing w:after="0" w:line="360" w:lineRule="auto"/>
              <w:ind w:left="0"/>
              <w:jc w:val="center"/>
              <w:rPr>
                <w:b/>
                <w:sz w:val="22"/>
              </w:rPr>
            </w:pPr>
            <w:r w:rsidRPr="001820C4">
              <w:rPr>
                <w:b/>
                <w:sz w:val="22"/>
              </w:rPr>
              <w:t>DIP. LUIS HERMELINDO LOEZA PACHECO.</w:t>
            </w:r>
          </w:p>
        </w:tc>
      </w:tr>
    </w:tbl>
    <w:p w:rsidR="000E35C3" w:rsidRPr="00AF7DE6" w:rsidRDefault="000E35C3" w:rsidP="000E35C3">
      <w:pPr>
        <w:spacing w:after="0" w:line="360" w:lineRule="auto"/>
        <w:ind w:left="0" w:right="0" w:firstLine="0"/>
        <w:rPr>
          <w:b/>
          <w:sz w:val="16"/>
          <w:szCs w:val="16"/>
        </w:rPr>
      </w:pPr>
      <w:bookmarkStart w:id="0" w:name="_GoBack"/>
      <w:bookmarkEnd w:id="0"/>
    </w:p>
    <w:sectPr w:rsidR="000E35C3" w:rsidRPr="00AF7DE6"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sdt>
        <w:sdtPr>
          <w:id w:val="-1547449897"/>
          <w:docPartObj>
            <w:docPartGallery w:val="Page Numbers (Bottom of Page)"/>
            <w:docPartUnique/>
          </w:docPartObj>
        </w:sdtPr>
        <w:sdtEndPr/>
        <w:sdtContent>
          <w:p w:rsidR="00B43756" w:rsidRDefault="00173A12" w:rsidP="00173A12">
            <w:pPr>
              <w:spacing w:after="0" w:line="244" w:lineRule="auto"/>
              <w:ind w:left="0" w:right="0" w:firstLine="0"/>
              <w:jc w:val="center"/>
              <w:rPr>
                <w:rFonts w:eastAsia="Times New Roman"/>
                <w:i/>
                <w:sz w:val="22"/>
              </w:rPr>
            </w:pPr>
            <w:r w:rsidRPr="00FA3DAB">
              <w:rPr>
                <w:rFonts w:ascii="Brush Script MT" w:hAnsi="Brush Script MT"/>
                <w:sz w:val="26"/>
                <w:szCs w:val="26"/>
              </w:rPr>
              <w:t>2019, Año de la Lengua Maya en el Estado de Yucatán”</w:t>
            </w:r>
          </w:p>
        </w:sdtContent>
      </w:sdt>
      <w:p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EE3A1B" w:rsidRPr="00EE3A1B">
          <w:rPr>
            <w:rFonts w:ascii="Arial" w:hAnsi="Arial" w:cs="Arial"/>
            <w:noProof/>
            <w:lang w:val="es-ES"/>
          </w:rPr>
          <w:t>8</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A324F9" w:rsidRPr="00A324F9" w:rsidRDefault="00A324F9" w:rsidP="00A324F9">
                          <w:pPr>
                            <w:spacing w:after="0"/>
                            <w:ind w:left="1701"/>
                            <w:rPr>
                              <w:rFonts w:ascii="Brush Script MT" w:hAnsi="Brush Script MT"/>
                              <w:b/>
                              <w:i/>
                              <w:sz w:val="26"/>
                              <w:szCs w:val="26"/>
                              <w:lang w:eastAsia="es-ES"/>
                            </w:rPr>
                          </w:pPr>
                          <w:r w:rsidRPr="00A324F9">
                            <w:rPr>
                              <w:rFonts w:ascii="Brush Script MT" w:hAnsi="Brush Script MT"/>
                              <w:b/>
                              <w:i/>
                              <w:sz w:val="26"/>
                              <w:szCs w:val="26"/>
                              <w:lang w:eastAsia="es-ES"/>
                            </w:rPr>
                            <w:t>“LXII Legislatura de la paridad de género”</w:t>
                          </w:r>
                        </w:p>
                        <w:p w:rsidR="00A324F9" w:rsidRPr="00A324F9" w:rsidRDefault="00A324F9"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A324F9" w:rsidRPr="00A324F9" w:rsidRDefault="00A324F9" w:rsidP="00A324F9">
                    <w:pPr>
                      <w:spacing w:after="0"/>
                      <w:ind w:left="1701"/>
                      <w:rPr>
                        <w:rFonts w:ascii="Brush Script MT" w:hAnsi="Brush Script MT"/>
                        <w:b/>
                        <w:i/>
                        <w:sz w:val="26"/>
                        <w:szCs w:val="26"/>
                        <w:lang w:eastAsia="es-ES"/>
                      </w:rPr>
                    </w:pPr>
                    <w:r w:rsidRPr="00A324F9">
                      <w:rPr>
                        <w:rFonts w:ascii="Brush Script MT" w:hAnsi="Brush Script MT"/>
                        <w:b/>
                        <w:i/>
                        <w:sz w:val="26"/>
                        <w:szCs w:val="26"/>
                        <w:lang w:eastAsia="es-ES"/>
                      </w:rPr>
                      <w:t>“LXII Legislatura de la paridad de género”</w:t>
                    </w:r>
                  </w:p>
                  <w:p w:rsidR="00A324F9" w:rsidRPr="00A324F9" w:rsidRDefault="00A324F9"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1E9"/>
    <w:rsid w:val="00000C33"/>
    <w:rsid w:val="000062DE"/>
    <w:rsid w:val="000176DF"/>
    <w:rsid w:val="000178FF"/>
    <w:rsid w:val="00022400"/>
    <w:rsid w:val="000256AF"/>
    <w:rsid w:val="00027EFA"/>
    <w:rsid w:val="00034F57"/>
    <w:rsid w:val="00036CC2"/>
    <w:rsid w:val="00036D7E"/>
    <w:rsid w:val="00040325"/>
    <w:rsid w:val="00040C28"/>
    <w:rsid w:val="00041B7E"/>
    <w:rsid w:val="00042B2B"/>
    <w:rsid w:val="00045FEC"/>
    <w:rsid w:val="000466B6"/>
    <w:rsid w:val="000505ED"/>
    <w:rsid w:val="0005188B"/>
    <w:rsid w:val="000562E0"/>
    <w:rsid w:val="0006084F"/>
    <w:rsid w:val="000611DB"/>
    <w:rsid w:val="00062E48"/>
    <w:rsid w:val="00063F97"/>
    <w:rsid w:val="00071AB4"/>
    <w:rsid w:val="000727B0"/>
    <w:rsid w:val="00073B6A"/>
    <w:rsid w:val="00075B69"/>
    <w:rsid w:val="00080B3C"/>
    <w:rsid w:val="00081173"/>
    <w:rsid w:val="00082E6E"/>
    <w:rsid w:val="0008575C"/>
    <w:rsid w:val="00085D02"/>
    <w:rsid w:val="00086021"/>
    <w:rsid w:val="000908F3"/>
    <w:rsid w:val="000A2CA9"/>
    <w:rsid w:val="000A6E07"/>
    <w:rsid w:val="000A6E66"/>
    <w:rsid w:val="000B0AF9"/>
    <w:rsid w:val="000B443B"/>
    <w:rsid w:val="000B4F9B"/>
    <w:rsid w:val="000B51F5"/>
    <w:rsid w:val="000B5931"/>
    <w:rsid w:val="000C13AD"/>
    <w:rsid w:val="000C37BC"/>
    <w:rsid w:val="000C38B3"/>
    <w:rsid w:val="000C524D"/>
    <w:rsid w:val="000C677F"/>
    <w:rsid w:val="000C6DF2"/>
    <w:rsid w:val="000D0727"/>
    <w:rsid w:val="000D0D28"/>
    <w:rsid w:val="000D5C62"/>
    <w:rsid w:val="000D652E"/>
    <w:rsid w:val="000E2FB0"/>
    <w:rsid w:val="000E3041"/>
    <w:rsid w:val="000E35C3"/>
    <w:rsid w:val="000F3DB6"/>
    <w:rsid w:val="00100B94"/>
    <w:rsid w:val="00101C60"/>
    <w:rsid w:val="0010302F"/>
    <w:rsid w:val="00107EB3"/>
    <w:rsid w:val="00113348"/>
    <w:rsid w:val="00115C55"/>
    <w:rsid w:val="00115F14"/>
    <w:rsid w:val="001179FA"/>
    <w:rsid w:val="00124C13"/>
    <w:rsid w:val="00126CB3"/>
    <w:rsid w:val="00127389"/>
    <w:rsid w:val="00133994"/>
    <w:rsid w:val="00136C36"/>
    <w:rsid w:val="001437E3"/>
    <w:rsid w:val="00143DAC"/>
    <w:rsid w:val="00145A19"/>
    <w:rsid w:val="00147A9F"/>
    <w:rsid w:val="00150BEA"/>
    <w:rsid w:val="001572E6"/>
    <w:rsid w:val="001579B1"/>
    <w:rsid w:val="001628C7"/>
    <w:rsid w:val="00162C34"/>
    <w:rsid w:val="00164BF3"/>
    <w:rsid w:val="00165FF8"/>
    <w:rsid w:val="00173A12"/>
    <w:rsid w:val="00173FA7"/>
    <w:rsid w:val="00174AC9"/>
    <w:rsid w:val="001753F5"/>
    <w:rsid w:val="00180EA2"/>
    <w:rsid w:val="00181956"/>
    <w:rsid w:val="0018314C"/>
    <w:rsid w:val="00192C28"/>
    <w:rsid w:val="001A7AE7"/>
    <w:rsid w:val="001A7B9D"/>
    <w:rsid w:val="001B252E"/>
    <w:rsid w:val="001B25A0"/>
    <w:rsid w:val="001B2D29"/>
    <w:rsid w:val="001B3A24"/>
    <w:rsid w:val="001B461D"/>
    <w:rsid w:val="001B46D3"/>
    <w:rsid w:val="001B6017"/>
    <w:rsid w:val="001C162B"/>
    <w:rsid w:val="001C6020"/>
    <w:rsid w:val="001C7067"/>
    <w:rsid w:val="001D0020"/>
    <w:rsid w:val="001D2DE4"/>
    <w:rsid w:val="001D6C9A"/>
    <w:rsid w:val="001E0BF4"/>
    <w:rsid w:val="001E1519"/>
    <w:rsid w:val="001E20BB"/>
    <w:rsid w:val="001E2144"/>
    <w:rsid w:val="001E325C"/>
    <w:rsid w:val="001E3B7D"/>
    <w:rsid w:val="001E41BE"/>
    <w:rsid w:val="001E6240"/>
    <w:rsid w:val="001F0B6D"/>
    <w:rsid w:val="001F1DCD"/>
    <w:rsid w:val="001F36C4"/>
    <w:rsid w:val="001F5603"/>
    <w:rsid w:val="001F6687"/>
    <w:rsid w:val="002008C9"/>
    <w:rsid w:val="0020208D"/>
    <w:rsid w:val="00204DC4"/>
    <w:rsid w:val="00205A90"/>
    <w:rsid w:val="00225955"/>
    <w:rsid w:val="002358C0"/>
    <w:rsid w:val="00253CAF"/>
    <w:rsid w:val="00253FF4"/>
    <w:rsid w:val="00255CDB"/>
    <w:rsid w:val="00256E89"/>
    <w:rsid w:val="00260962"/>
    <w:rsid w:val="00261B8F"/>
    <w:rsid w:val="002626A4"/>
    <w:rsid w:val="00266801"/>
    <w:rsid w:val="002679ED"/>
    <w:rsid w:val="00274629"/>
    <w:rsid w:val="0027696D"/>
    <w:rsid w:val="0028264A"/>
    <w:rsid w:val="0028596B"/>
    <w:rsid w:val="00290823"/>
    <w:rsid w:val="002916AE"/>
    <w:rsid w:val="00297DC5"/>
    <w:rsid w:val="002A6B12"/>
    <w:rsid w:val="002A6DDB"/>
    <w:rsid w:val="002A7C64"/>
    <w:rsid w:val="002B059E"/>
    <w:rsid w:val="002B568E"/>
    <w:rsid w:val="002B6D75"/>
    <w:rsid w:val="002C0781"/>
    <w:rsid w:val="002C1550"/>
    <w:rsid w:val="002D4266"/>
    <w:rsid w:val="002D4277"/>
    <w:rsid w:val="002D46A3"/>
    <w:rsid w:val="002E2E91"/>
    <w:rsid w:val="002E66DB"/>
    <w:rsid w:val="002E6C0A"/>
    <w:rsid w:val="002E7829"/>
    <w:rsid w:val="002F0639"/>
    <w:rsid w:val="002F0A3F"/>
    <w:rsid w:val="002F0D18"/>
    <w:rsid w:val="002F2BFF"/>
    <w:rsid w:val="002F3F72"/>
    <w:rsid w:val="00303B9F"/>
    <w:rsid w:val="003074BF"/>
    <w:rsid w:val="00311CDA"/>
    <w:rsid w:val="0031423A"/>
    <w:rsid w:val="00315F37"/>
    <w:rsid w:val="00320649"/>
    <w:rsid w:val="00323D18"/>
    <w:rsid w:val="0032423C"/>
    <w:rsid w:val="003269F6"/>
    <w:rsid w:val="003274E0"/>
    <w:rsid w:val="0033048A"/>
    <w:rsid w:val="00330C12"/>
    <w:rsid w:val="003331CB"/>
    <w:rsid w:val="00343123"/>
    <w:rsid w:val="00343A04"/>
    <w:rsid w:val="003440CC"/>
    <w:rsid w:val="003444EC"/>
    <w:rsid w:val="00345EA6"/>
    <w:rsid w:val="00346A7A"/>
    <w:rsid w:val="00346AD6"/>
    <w:rsid w:val="003476F0"/>
    <w:rsid w:val="003476F4"/>
    <w:rsid w:val="00351C47"/>
    <w:rsid w:val="00352955"/>
    <w:rsid w:val="00354180"/>
    <w:rsid w:val="00356003"/>
    <w:rsid w:val="00357E64"/>
    <w:rsid w:val="00360EC2"/>
    <w:rsid w:val="0038070E"/>
    <w:rsid w:val="003859CB"/>
    <w:rsid w:val="00387D11"/>
    <w:rsid w:val="003920AE"/>
    <w:rsid w:val="0039385A"/>
    <w:rsid w:val="00394404"/>
    <w:rsid w:val="00394CE1"/>
    <w:rsid w:val="003A088D"/>
    <w:rsid w:val="003A40BA"/>
    <w:rsid w:val="003A52EE"/>
    <w:rsid w:val="003A553C"/>
    <w:rsid w:val="003A563C"/>
    <w:rsid w:val="003B66D5"/>
    <w:rsid w:val="003C187C"/>
    <w:rsid w:val="003C30F6"/>
    <w:rsid w:val="003C5054"/>
    <w:rsid w:val="003D09A4"/>
    <w:rsid w:val="003D2137"/>
    <w:rsid w:val="003D5BE1"/>
    <w:rsid w:val="003D6CD1"/>
    <w:rsid w:val="003E66BB"/>
    <w:rsid w:val="003E6E5B"/>
    <w:rsid w:val="003F0D24"/>
    <w:rsid w:val="003F0DED"/>
    <w:rsid w:val="003F2083"/>
    <w:rsid w:val="003F397E"/>
    <w:rsid w:val="003F410F"/>
    <w:rsid w:val="003F7306"/>
    <w:rsid w:val="003F76E9"/>
    <w:rsid w:val="004010C2"/>
    <w:rsid w:val="00407E91"/>
    <w:rsid w:val="004113D0"/>
    <w:rsid w:val="004118C7"/>
    <w:rsid w:val="00414492"/>
    <w:rsid w:val="0042119C"/>
    <w:rsid w:val="004230F8"/>
    <w:rsid w:val="004238C2"/>
    <w:rsid w:val="00424C08"/>
    <w:rsid w:val="00425BE0"/>
    <w:rsid w:val="00430306"/>
    <w:rsid w:val="0043074A"/>
    <w:rsid w:val="00431985"/>
    <w:rsid w:val="004349BD"/>
    <w:rsid w:val="00436F6C"/>
    <w:rsid w:val="0044518D"/>
    <w:rsid w:val="004458A0"/>
    <w:rsid w:val="00446925"/>
    <w:rsid w:val="004563DB"/>
    <w:rsid w:val="00460269"/>
    <w:rsid w:val="00461363"/>
    <w:rsid w:val="004629AE"/>
    <w:rsid w:val="00463512"/>
    <w:rsid w:val="00472776"/>
    <w:rsid w:val="00473B00"/>
    <w:rsid w:val="004753FF"/>
    <w:rsid w:val="00475766"/>
    <w:rsid w:val="004761DF"/>
    <w:rsid w:val="00482C82"/>
    <w:rsid w:val="0048335C"/>
    <w:rsid w:val="00484527"/>
    <w:rsid w:val="0049057B"/>
    <w:rsid w:val="00495049"/>
    <w:rsid w:val="004967F1"/>
    <w:rsid w:val="004A73FD"/>
    <w:rsid w:val="004A7ACB"/>
    <w:rsid w:val="004A7E28"/>
    <w:rsid w:val="004B4CAC"/>
    <w:rsid w:val="004B6C20"/>
    <w:rsid w:val="004B6EFA"/>
    <w:rsid w:val="004B7773"/>
    <w:rsid w:val="004B7E67"/>
    <w:rsid w:val="004C0693"/>
    <w:rsid w:val="004C2CE0"/>
    <w:rsid w:val="004C51A5"/>
    <w:rsid w:val="004C6CB1"/>
    <w:rsid w:val="004D063C"/>
    <w:rsid w:val="004D067C"/>
    <w:rsid w:val="004D4DDD"/>
    <w:rsid w:val="004D7F1F"/>
    <w:rsid w:val="004E1691"/>
    <w:rsid w:val="004E2ABB"/>
    <w:rsid w:val="004E4FC4"/>
    <w:rsid w:val="004E5CAA"/>
    <w:rsid w:val="004F0F0D"/>
    <w:rsid w:val="004F75A3"/>
    <w:rsid w:val="00506355"/>
    <w:rsid w:val="0050639C"/>
    <w:rsid w:val="00507BBE"/>
    <w:rsid w:val="0051012E"/>
    <w:rsid w:val="005108B0"/>
    <w:rsid w:val="005109B0"/>
    <w:rsid w:val="0051151D"/>
    <w:rsid w:val="0051223E"/>
    <w:rsid w:val="00522AB5"/>
    <w:rsid w:val="005244EA"/>
    <w:rsid w:val="005334AF"/>
    <w:rsid w:val="00533AD6"/>
    <w:rsid w:val="00536359"/>
    <w:rsid w:val="00537E17"/>
    <w:rsid w:val="005408FB"/>
    <w:rsid w:val="00546937"/>
    <w:rsid w:val="00552156"/>
    <w:rsid w:val="005535C1"/>
    <w:rsid w:val="005539AA"/>
    <w:rsid w:val="00555DED"/>
    <w:rsid w:val="0056664B"/>
    <w:rsid w:val="005739AF"/>
    <w:rsid w:val="00575A33"/>
    <w:rsid w:val="00576C3D"/>
    <w:rsid w:val="00577B7D"/>
    <w:rsid w:val="00580526"/>
    <w:rsid w:val="005826A4"/>
    <w:rsid w:val="00585695"/>
    <w:rsid w:val="00586FE2"/>
    <w:rsid w:val="00590B6D"/>
    <w:rsid w:val="0059190A"/>
    <w:rsid w:val="005945C9"/>
    <w:rsid w:val="005A2416"/>
    <w:rsid w:val="005A48D4"/>
    <w:rsid w:val="005A5BDD"/>
    <w:rsid w:val="005A638D"/>
    <w:rsid w:val="005A69D7"/>
    <w:rsid w:val="005A6A75"/>
    <w:rsid w:val="005B2037"/>
    <w:rsid w:val="005B4EA9"/>
    <w:rsid w:val="005B7251"/>
    <w:rsid w:val="005C0683"/>
    <w:rsid w:val="005C16D4"/>
    <w:rsid w:val="005C7697"/>
    <w:rsid w:val="005D45D4"/>
    <w:rsid w:val="005D5D43"/>
    <w:rsid w:val="005D6400"/>
    <w:rsid w:val="005E2585"/>
    <w:rsid w:val="005E47E5"/>
    <w:rsid w:val="005E49CA"/>
    <w:rsid w:val="005E7CA8"/>
    <w:rsid w:val="005F36E3"/>
    <w:rsid w:val="005F5E67"/>
    <w:rsid w:val="006003EF"/>
    <w:rsid w:val="00603357"/>
    <w:rsid w:val="00604FA9"/>
    <w:rsid w:val="006076BC"/>
    <w:rsid w:val="006130FC"/>
    <w:rsid w:val="0061384C"/>
    <w:rsid w:val="00616F14"/>
    <w:rsid w:val="00617E50"/>
    <w:rsid w:val="00620DDC"/>
    <w:rsid w:val="0063029B"/>
    <w:rsid w:val="006316E5"/>
    <w:rsid w:val="00631786"/>
    <w:rsid w:val="00633FD5"/>
    <w:rsid w:val="0063407A"/>
    <w:rsid w:val="00635CFE"/>
    <w:rsid w:val="006360EB"/>
    <w:rsid w:val="006363F5"/>
    <w:rsid w:val="0063743A"/>
    <w:rsid w:val="00637805"/>
    <w:rsid w:val="00641D4D"/>
    <w:rsid w:val="00643C82"/>
    <w:rsid w:val="006440A1"/>
    <w:rsid w:val="0064458A"/>
    <w:rsid w:val="0064462A"/>
    <w:rsid w:val="00645BBC"/>
    <w:rsid w:val="006463AE"/>
    <w:rsid w:val="00646CEC"/>
    <w:rsid w:val="00652AA9"/>
    <w:rsid w:val="006531A8"/>
    <w:rsid w:val="00654DE2"/>
    <w:rsid w:val="00654E7F"/>
    <w:rsid w:val="00657815"/>
    <w:rsid w:val="0066098F"/>
    <w:rsid w:val="006706B6"/>
    <w:rsid w:val="00672C23"/>
    <w:rsid w:val="006730D7"/>
    <w:rsid w:val="00681287"/>
    <w:rsid w:val="00681E70"/>
    <w:rsid w:val="00685C4F"/>
    <w:rsid w:val="00691173"/>
    <w:rsid w:val="00691AA4"/>
    <w:rsid w:val="00692DEB"/>
    <w:rsid w:val="00697153"/>
    <w:rsid w:val="006A42C5"/>
    <w:rsid w:val="006A4F32"/>
    <w:rsid w:val="006B13F3"/>
    <w:rsid w:val="006C0363"/>
    <w:rsid w:val="006C2060"/>
    <w:rsid w:val="006C4945"/>
    <w:rsid w:val="006C69F5"/>
    <w:rsid w:val="006D0204"/>
    <w:rsid w:val="006D6661"/>
    <w:rsid w:val="006D66AA"/>
    <w:rsid w:val="006E2AF9"/>
    <w:rsid w:val="006F4BB6"/>
    <w:rsid w:val="006F692B"/>
    <w:rsid w:val="007012D9"/>
    <w:rsid w:val="007043D0"/>
    <w:rsid w:val="00705EAB"/>
    <w:rsid w:val="00710452"/>
    <w:rsid w:val="00710DD3"/>
    <w:rsid w:val="00716F0A"/>
    <w:rsid w:val="00724B49"/>
    <w:rsid w:val="00731A96"/>
    <w:rsid w:val="00743015"/>
    <w:rsid w:val="007447B1"/>
    <w:rsid w:val="007465E5"/>
    <w:rsid w:val="0075036F"/>
    <w:rsid w:val="007508BB"/>
    <w:rsid w:val="00751EB8"/>
    <w:rsid w:val="00753037"/>
    <w:rsid w:val="00753C61"/>
    <w:rsid w:val="007560B0"/>
    <w:rsid w:val="00761A27"/>
    <w:rsid w:val="007654CB"/>
    <w:rsid w:val="00765908"/>
    <w:rsid w:val="0076690B"/>
    <w:rsid w:val="00766D66"/>
    <w:rsid w:val="0077303E"/>
    <w:rsid w:val="007733F0"/>
    <w:rsid w:val="00774BAB"/>
    <w:rsid w:val="007828D0"/>
    <w:rsid w:val="00782F04"/>
    <w:rsid w:val="00783DAA"/>
    <w:rsid w:val="00785375"/>
    <w:rsid w:val="00786F9E"/>
    <w:rsid w:val="007933EB"/>
    <w:rsid w:val="007A0535"/>
    <w:rsid w:val="007A0FC6"/>
    <w:rsid w:val="007A3C01"/>
    <w:rsid w:val="007A4CC3"/>
    <w:rsid w:val="007B07F8"/>
    <w:rsid w:val="007B2FFB"/>
    <w:rsid w:val="007B5DDC"/>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708A"/>
    <w:rsid w:val="00810FCE"/>
    <w:rsid w:val="008144AF"/>
    <w:rsid w:val="00814D98"/>
    <w:rsid w:val="008158B6"/>
    <w:rsid w:val="00815A2A"/>
    <w:rsid w:val="008160E5"/>
    <w:rsid w:val="0082241A"/>
    <w:rsid w:val="00822A34"/>
    <w:rsid w:val="00824030"/>
    <w:rsid w:val="008256CC"/>
    <w:rsid w:val="0083230D"/>
    <w:rsid w:val="00832F48"/>
    <w:rsid w:val="008345D1"/>
    <w:rsid w:val="008347DF"/>
    <w:rsid w:val="00842E87"/>
    <w:rsid w:val="00844470"/>
    <w:rsid w:val="00850332"/>
    <w:rsid w:val="00852B2E"/>
    <w:rsid w:val="008575D7"/>
    <w:rsid w:val="00874277"/>
    <w:rsid w:val="0088570C"/>
    <w:rsid w:val="0089102A"/>
    <w:rsid w:val="0089182A"/>
    <w:rsid w:val="00892FC1"/>
    <w:rsid w:val="008A7172"/>
    <w:rsid w:val="008B00C6"/>
    <w:rsid w:val="008B363A"/>
    <w:rsid w:val="008B49FD"/>
    <w:rsid w:val="008B5C47"/>
    <w:rsid w:val="008B734D"/>
    <w:rsid w:val="008C1239"/>
    <w:rsid w:val="008C16B4"/>
    <w:rsid w:val="008C28F7"/>
    <w:rsid w:val="008D1E05"/>
    <w:rsid w:val="008D7B09"/>
    <w:rsid w:val="008E07B6"/>
    <w:rsid w:val="008E1D24"/>
    <w:rsid w:val="008E54F4"/>
    <w:rsid w:val="008F0D58"/>
    <w:rsid w:val="008F3D21"/>
    <w:rsid w:val="008F46FA"/>
    <w:rsid w:val="008F7CB6"/>
    <w:rsid w:val="00900C30"/>
    <w:rsid w:val="009033F3"/>
    <w:rsid w:val="00903717"/>
    <w:rsid w:val="00903ED0"/>
    <w:rsid w:val="00905A3E"/>
    <w:rsid w:val="009104B6"/>
    <w:rsid w:val="00916AA5"/>
    <w:rsid w:val="00916DDF"/>
    <w:rsid w:val="00923896"/>
    <w:rsid w:val="00943FB0"/>
    <w:rsid w:val="00947E6D"/>
    <w:rsid w:val="00950739"/>
    <w:rsid w:val="009507AE"/>
    <w:rsid w:val="009507D8"/>
    <w:rsid w:val="0095536D"/>
    <w:rsid w:val="00956DE4"/>
    <w:rsid w:val="00963E39"/>
    <w:rsid w:val="009649DC"/>
    <w:rsid w:val="009722EC"/>
    <w:rsid w:val="00974280"/>
    <w:rsid w:val="00981747"/>
    <w:rsid w:val="00981789"/>
    <w:rsid w:val="00981D83"/>
    <w:rsid w:val="00983E4F"/>
    <w:rsid w:val="00987318"/>
    <w:rsid w:val="009937FA"/>
    <w:rsid w:val="009942E0"/>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47CE"/>
    <w:rsid w:val="00A0363F"/>
    <w:rsid w:val="00A10BF5"/>
    <w:rsid w:val="00A13E67"/>
    <w:rsid w:val="00A168E0"/>
    <w:rsid w:val="00A24A06"/>
    <w:rsid w:val="00A3196C"/>
    <w:rsid w:val="00A324F9"/>
    <w:rsid w:val="00A36606"/>
    <w:rsid w:val="00A411C5"/>
    <w:rsid w:val="00A42F90"/>
    <w:rsid w:val="00A445AB"/>
    <w:rsid w:val="00A45AC6"/>
    <w:rsid w:val="00A46744"/>
    <w:rsid w:val="00A46766"/>
    <w:rsid w:val="00A47832"/>
    <w:rsid w:val="00A50A25"/>
    <w:rsid w:val="00A56D1E"/>
    <w:rsid w:val="00A607EE"/>
    <w:rsid w:val="00A631D7"/>
    <w:rsid w:val="00A70290"/>
    <w:rsid w:val="00A716D7"/>
    <w:rsid w:val="00A71919"/>
    <w:rsid w:val="00A75D09"/>
    <w:rsid w:val="00A75E0B"/>
    <w:rsid w:val="00A76D83"/>
    <w:rsid w:val="00A85D1E"/>
    <w:rsid w:val="00A86817"/>
    <w:rsid w:val="00A868E6"/>
    <w:rsid w:val="00A87FCF"/>
    <w:rsid w:val="00A936CD"/>
    <w:rsid w:val="00A95D4D"/>
    <w:rsid w:val="00A970C3"/>
    <w:rsid w:val="00A97EAF"/>
    <w:rsid w:val="00AA17C6"/>
    <w:rsid w:val="00AA190A"/>
    <w:rsid w:val="00AB0663"/>
    <w:rsid w:val="00AB11B4"/>
    <w:rsid w:val="00AB66DF"/>
    <w:rsid w:val="00AC28B1"/>
    <w:rsid w:val="00AC3812"/>
    <w:rsid w:val="00AC6E8A"/>
    <w:rsid w:val="00AD522F"/>
    <w:rsid w:val="00AD680F"/>
    <w:rsid w:val="00AE1759"/>
    <w:rsid w:val="00AE225D"/>
    <w:rsid w:val="00AE3380"/>
    <w:rsid w:val="00AE3E75"/>
    <w:rsid w:val="00AF0969"/>
    <w:rsid w:val="00AF7DE6"/>
    <w:rsid w:val="00B0171D"/>
    <w:rsid w:val="00B01BFF"/>
    <w:rsid w:val="00B06FA8"/>
    <w:rsid w:val="00B11E55"/>
    <w:rsid w:val="00B17C12"/>
    <w:rsid w:val="00B24D54"/>
    <w:rsid w:val="00B30963"/>
    <w:rsid w:val="00B30A15"/>
    <w:rsid w:val="00B33914"/>
    <w:rsid w:val="00B352A1"/>
    <w:rsid w:val="00B36D02"/>
    <w:rsid w:val="00B37F63"/>
    <w:rsid w:val="00B42554"/>
    <w:rsid w:val="00B43627"/>
    <w:rsid w:val="00B43756"/>
    <w:rsid w:val="00B4648B"/>
    <w:rsid w:val="00B476B1"/>
    <w:rsid w:val="00B50A8A"/>
    <w:rsid w:val="00B510C5"/>
    <w:rsid w:val="00B516F8"/>
    <w:rsid w:val="00B51A0B"/>
    <w:rsid w:val="00B526D2"/>
    <w:rsid w:val="00B54DB4"/>
    <w:rsid w:val="00B55B42"/>
    <w:rsid w:val="00B63145"/>
    <w:rsid w:val="00B63AEA"/>
    <w:rsid w:val="00B63C3C"/>
    <w:rsid w:val="00B6505C"/>
    <w:rsid w:val="00B6574B"/>
    <w:rsid w:val="00B66FC1"/>
    <w:rsid w:val="00B71D1A"/>
    <w:rsid w:val="00B725A7"/>
    <w:rsid w:val="00B743A4"/>
    <w:rsid w:val="00B75C73"/>
    <w:rsid w:val="00B8206B"/>
    <w:rsid w:val="00B85A88"/>
    <w:rsid w:val="00B863CA"/>
    <w:rsid w:val="00B86BD8"/>
    <w:rsid w:val="00B91963"/>
    <w:rsid w:val="00B923B6"/>
    <w:rsid w:val="00B97F00"/>
    <w:rsid w:val="00BA0B74"/>
    <w:rsid w:val="00BA1095"/>
    <w:rsid w:val="00BA1551"/>
    <w:rsid w:val="00BA192B"/>
    <w:rsid w:val="00BB0CED"/>
    <w:rsid w:val="00BB2C0F"/>
    <w:rsid w:val="00BB5669"/>
    <w:rsid w:val="00BB687F"/>
    <w:rsid w:val="00BC46CE"/>
    <w:rsid w:val="00BC4DA6"/>
    <w:rsid w:val="00BC70AA"/>
    <w:rsid w:val="00BD0C54"/>
    <w:rsid w:val="00BD1C48"/>
    <w:rsid w:val="00BD2B67"/>
    <w:rsid w:val="00BD5E7C"/>
    <w:rsid w:val="00BD6640"/>
    <w:rsid w:val="00BD7D38"/>
    <w:rsid w:val="00BE1578"/>
    <w:rsid w:val="00BE3D82"/>
    <w:rsid w:val="00BE470D"/>
    <w:rsid w:val="00BF0468"/>
    <w:rsid w:val="00BF1001"/>
    <w:rsid w:val="00BF5612"/>
    <w:rsid w:val="00C00BEE"/>
    <w:rsid w:val="00C030BD"/>
    <w:rsid w:val="00C06418"/>
    <w:rsid w:val="00C16047"/>
    <w:rsid w:val="00C244D8"/>
    <w:rsid w:val="00C25DCF"/>
    <w:rsid w:val="00C25FDD"/>
    <w:rsid w:val="00C264EA"/>
    <w:rsid w:val="00C459FD"/>
    <w:rsid w:val="00C53B17"/>
    <w:rsid w:val="00C620A0"/>
    <w:rsid w:val="00C6393C"/>
    <w:rsid w:val="00C66B6B"/>
    <w:rsid w:val="00C71277"/>
    <w:rsid w:val="00C80038"/>
    <w:rsid w:val="00C81148"/>
    <w:rsid w:val="00C8115C"/>
    <w:rsid w:val="00C82AB7"/>
    <w:rsid w:val="00C84C6B"/>
    <w:rsid w:val="00C91310"/>
    <w:rsid w:val="00C915EC"/>
    <w:rsid w:val="00C934B3"/>
    <w:rsid w:val="00C95B92"/>
    <w:rsid w:val="00C97C11"/>
    <w:rsid w:val="00CA1642"/>
    <w:rsid w:val="00CA4FAF"/>
    <w:rsid w:val="00CA6439"/>
    <w:rsid w:val="00CB4E36"/>
    <w:rsid w:val="00CC7367"/>
    <w:rsid w:val="00CD5558"/>
    <w:rsid w:val="00CD6632"/>
    <w:rsid w:val="00CD69CF"/>
    <w:rsid w:val="00CD762E"/>
    <w:rsid w:val="00CF3500"/>
    <w:rsid w:val="00CF51E1"/>
    <w:rsid w:val="00D04D29"/>
    <w:rsid w:val="00D053F8"/>
    <w:rsid w:val="00D10425"/>
    <w:rsid w:val="00D14D89"/>
    <w:rsid w:val="00D155D6"/>
    <w:rsid w:val="00D20AA2"/>
    <w:rsid w:val="00D20C05"/>
    <w:rsid w:val="00D21460"/>
    <w:rsid w:val="00D2521A"/>
    <w:rsid w:val="00D26446"/>
    <w:rsid w:val="00D31BD1"/>
    <w:rsid w:val="00D33FE4"/>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47C6"/>
    <w:rsid w:val="00D66BBA"/>
    <w:rsid w:val="00D679FD"/>
    <w:rsid w:val="00D67FD3"/>
    <w:rsid w:val="00D7659A"/>
    <w:rsid w:val="00D85E7A"/>
    <w:rsid w:val="00D92F0D"/>
    <w:rsid w:val="00D9526E"/>
    <w:rsid w:val="00DA2640"/>
    <w:rsid w:val="00DA38B4"/>
    <w:rsid w:val="00DB1B90"/>
    <w:rsid w:val="00DB38E9"/>
    <w:rsid w:val="00DC2051"/>
    <w:rsid w:val="00DC79C9"/>
    <w:rsid w:val="00DD08A8"/>
    <w:rsid w:val="00DD0B05"/>
    <w:rsid w:val="00DD3B4F"/>
    <w:rsid w:val="00DD3E45"/>
    <w:rsid w:val="00DE44FC"/>
    <w:rsid w:val="00DE4D3D"/>
    <w:rsid w:val="00DE4DE6"/>
    <w:rsid w:val="00E01D6F"/>
    <w:rsid w:val="00E051DF"/>
    <w:rsid w:val="00E05AE3"/>
    <w:rsid w:val="00E06766"/>
    <w:rsid w:val="00E07A19"/>
    <w:rsid w:val="00E10531"/>
    <w:rsid w:val="00E10593"/>
    <w:rsid w:val="00E11431"/>
    <w:rsid w:val="00E12EF9"/>
    <w:rsid w:val="00E1502A"/>
    <w:rsid w:val="00E173AD"/>
    <w:rsid w:val="00E201DD"/>
    <w:rsid w:val="00E214F2"/>
    <w:rsid w:val="00E21B75"/>
    <w:rsid w:val="00E21C43"/>
    <w:rsid w:val="00E236CD"/>
    <w:rsid w:val="00E246BF"/>
    <w:rsid w:val="00E267CE"/>
    <w:rsid w:val="00E27896"/>
    <w:rsid w:val="00E31A9C"/>
    <w:rsid w:val="00E407B4"/>
    <w:rsid w:val="00E4124F"/>
    <w:rsid w:val="00E4285E"/>
    <w:rsid w:val="00E429CF"/>
    <w:rsid w:val="00E44069"/>
    <w:rsid w:val="00E440A5"/>
    <w:rsid w:val="00E457FD"/>
    <w:rsid w:val="00E46436"/>
    <w:rsid w:val="00E4694A"/>
    <w:rsid w:val="00E47BE0"/>
    <w:rsid w:val="00E52DE9"/>
    <w:rsid w:val="00E5383F"/>
    <w:rsid w:val="00E5617C"/>
    <w:rsid w:val="00E5744E"/>
    <w:rsid w:val="00E579AE"/>
    <w:rsid w:val="00E60A87"/>
    <w:rsid w:val="00E66193"/>
    <w:rsid w:val="00E6799E"/>
    <w:rsid w:val="00E679A0"/>
    <w:rsid w:val="00E71622"/>
    <w:rsid w:val="00E73A9C"/>
    <w:rsid w:val="00E74BA7"/>
    <w:rsid w:val="00E772C5"/>
    <w:rsid w:val="00E8330E"/>
    <w:rsid w:val="00E8384B"/>
    <w:rsid w:val="00E87C37"/>
    <w:rsid w:val="00E9192E"/>
    <w:rsid w:val="00E91C02"/>
    <w:rsid w:val="00E95F88"/>
    <w:rsid w:val="00EA15A7"/>
    <w:rsid w:val="00EA2578"/>
    <w:rsid w:val="00EA6DCA"/>
    <w:rsid w:val="00EB261F"/>
    <w:rsid w:val="00EB2951"/>
    <w:rsid w:val="00EB2A9F"/>
    <w:rsid w:val="00EB3D60"/>
    <w:rsid w:val="00EB68B6"/>
    <w:rsid w:val="00EB6968"/>
    <w:rsid w:val="00EC0D5C"/>
    <w:rsid w:val="00EC22D3"/>
    <w:rsid w:val="00ED4EF9"/>
    <w:rsid w:val="00ED5427"/>
    <w:rsid w:val="00EE068B"/>
    <w:rsid w:val="00EE10DA"/>
    <w:rsid w:val="00EE2ED1"/>
    <w:rsid w:val="00EE3A1B"/>
    <w:rsid w:val="00EE483D"/>
    <w:rsid w:val="00EE4D5C"/>
    <w:rsid w:val="00EE4F89"/>
    <w:rsid w:val="00EE4FF5"/>
    <w:rsid w:val="00EF1751"/>
    <w:rsid w:val="00EF1C7D"/>
    <w:rsid w:val="00EF7369"/>
    <w:rsid w:val="00F13D96"/>
    <w:rsid w:val="00F14A16"/>
    <w:rsid w:val="00F16B45"/>
    <w:rsid w:val="00F21451"/>
    <w:rsid w:val="00F268D2"/>
    <w:rsid w:val="00F30455"/>
    <w:rsid w:val="00F35F65"/>
    <w:rsid w:val="00F36B13"/>
    <w:rsid w:val="00F36D5F"/>
    <w:rsid w:val="00F40AAC"/>
    <w:rsid w:val="00F41603"/>
    <w:rsid w:val="00F4197A"/>
    <w:rsid w:val="00F42812"/>
    <w:rsid w:val="00F43A35"/>
    <w:rsid w:val="00F44788"/>
    <w:rsid w:val="00F4518F"/>
    <w:rsid w:val="00F53EC3"/>
    <w:rsid w:val="00F54536"/>
    <w:rsid w:val="00F56BD7"/>
    <w:rsid w:val="00F57B0B"/>
    <w:rsid w:val="00F605FF"/>
    <w:rsid w:val="00F66CC9"/>
    <w:rsid w:val="00F67639"/>
    <w:rsid w:val="00F71984"/>
    <w:rsid w:val="00F74FF9"/>
    <w:rsid w:val="00F808F6"/>
    <w:rsid w:val="00F8351C"/>
    <w:rsid w:val="00F83EE6"/>
    <w:rsid w:val="00F859AD"/>
    <w:rsid w:val="00F86146"/>
    <w:rsid w:val="00F865DD"/>
    <w:rsid w:val="00F86BAA"/>
    <w:rsid w:val="00F925D8"/>
    <w:rsid w:val="00F93F04"/>
    <w:rsid w:val="00F94EC2"/>
    <w:rsid w:val="00F9653E"/>
    <w:rsid w:val="00FA1231"/>
    <w:rsid w:val="00FA126E"/>
    <w:rsid w:val="00FA1961"/>
    <w:rsid w:val="00FA2746"/>
    <w:rsid w:val="00FA6C49"/>
    <w:rsid w:val="00FB3912"/>
    <w:rsid w:val="00FB6013"/>
    <w:rsid w:val="00FB6DA0"/>
    <w:rsid w:val="00FC16CA"/>
    <w:rsid w:val="00FC1DB1"/>
    <w:rsid w:val="00FC2CB4"/>
    <w:rsid w:val="00FD0553"/>
    <w:rsid w:val="00FD7BC9"/>
    <w:rsid w:val="00FD7BFE"/>
    <w:rsid w:val="00FE1639"/>
    <w:rsid w:val="00FE6D22"/>
    <w:rsid w:val="00FF2DD5"/>
    <w:rsid w:val="00FF4169"/>
    <w:rsid w:val="00FF5E08"/>
    <w:rsid w:val="00FF6FA7"/>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F4"/>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Sinespaciado">
    <w:name w:val="No Spacing"/>
    <w:uiPriority w:val="1"/>
    <w:qFormat/>
    <w:rsid w:val="00387D11"/>
    <w:pPr>
      <w:spacing w:after="0" w:line="240" w:lineRule="auto"/>
    </w:pPr>
    <w:rPr>
      <w:rFonts w:ascii="Calibri" w:eastAsia="Calibri" w:hAnsi="Calibri" w:cs="Times New Roman"/>
      <w:lang w:eastAsia="en-US"/>
    </w:rPr>
  </w:style>
  <w:style w:type="paragraph" w:styleId="Textoindependiente2">
    <w:name w:val="Body Text 2"/>
    <w:basedOn w:val="Normal"/>
    <w:link w:val="Textoindependiente2Car"/>
    <w:rsid w:val="000E35C3"/>
    <w:pPr>
      <w:spacing w:after="120" w:line="48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Textoindependiente2Car">
    <w:name w:val="Texto independiente 2 Car"/>
    <w:basedOn w:val="Fuentedeprrafopredeter"/>
    <w:link w:val="Textoindependiente2"/>
    <w:rsid w:val="000E35C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87549-C3B5-4B39-9593-2E7DBEBB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1814</Words>
  <Characters>9980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Carolina Guzmán</cp:lastModifiedBy>
  <cp:revision>3</cp:revision>
  <cp:lastPrinted>2019-09-17T17:33:00Z</cp:lastPrinted>
  <dcterms:created xsi:type="dcterms:W3CDTF">2019-11-26T21:47:00Z</dcterms:created>
  <dcterms:modified xsi:type="dcterms:W3CDTF">2019-11-26T21:57:00Z</dcterms:modified>
</cp:coreProperties>
</file>